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AA" w:rsidRPr="00751FAA" w:rsidRDefault="00751FAA" w:rsidP="00751FAA">
      <w:pPr>
        <w:shd w:val="clear" w:color="auto" w:fill="FFFFFF"/>
        <w:spacing w:before="408" w:after="312" w:line="304" w:lineRule="atLeast"/>
        <w:jc w:val="center"/>
        <w:outlineLvl w:val="2"/>
        <w:rPr>
          <w:rFonts w:ascii="Arial" w:eastAsia="Times New Roman" w:hAnsi="Arial" w:cs="Arial"/>
          <w:caps/>
          <w:color w:val="484184"/>
          <w:sz w:val="48"/>
          <w:szCs w:val="48"/>
          <w:lang w:eastAsia="ru-RU"/>
        </w:rPr>
      </w:pPr>
      <w:r w:rsidRPr="00751FAA">
        <w:rPr>
          <w:rFonts w:ascii="Arial" w:eastAsia="Times New Roman" w:hAnsi="Arial" w:cs="Arial"/>
          <w:caps/>
          <w:color w:val="484184"/>
          <w:sz w:val="48"/>
          <w:szCs w:val="48"/>
          <w:lang w:eastAsia="ru-RU"/>
        </w:rPr>
        <w:t>ИЗМЕНЕНИЯ-7 ОТ 31 МАРТА 2017 ГОДА В ПРОЕКТНУЮ ДЕКЛАРАЦИЮ</w:t>
      </w:r>
    </w:p>
    <w:p w:rsidR="00751FAA" w:rsidRPr="00751FAA" w:rsidRDefault="00751FAA" w:rsidP="00751FAA">
      <w:pPr>
        <w:shd w:val="clear" w:color="auto" w:fill="FFFFFF"/>
        <w:spacing w:after="416" w:line="240" w:lineRule="auto"/>
        <w:jc w:val="center"/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</w:pPr>
      <w:r w:rsidRPr="00751FAA">
        <w:rPr>
          <w:rFonts w:ascii="Arial" w:eastAsia="Times New Roman" w:hAnsi="Arial" w:cs="Arial"/>
          <w:b/>
          <w:bCs/>
          <w:color w:val="484184"/>
          <w:spacing w:val="15"/>
          <w:sz w:val="23"/>
          <w:szCs w:val="23"/>
          <w:lang w:eastAsia="ru-RU"/>
        </w:rPr>
        <w:t>Общества с ограниченной ответственностью «Деловой союз»</w:t>
      </w:r>
      <w:r w:rsidRPr="00751FAA">
        <w:rPr>
          <w:rFonts w:ascii="Arial" w:eastAsia="Times New Roman" w:hAnsi="Arial" w:cs="Arial"/>
          <w:b/>
          <w:bCs/>
          <w:color w:val="484184"/>
          <w:spacing w:val="15"/>
          <w:sz w:val="23"/>
          <w:szCs w:val="23"/>
          <w:lang w:eastAsia="ru-RU"/>
        </w:rPr>
        <w:br/>
        <w:t>по строительству многоквартирного жилого дома  с нежилыми помещениями </w:t>
      </w:r>
      <w:r w:rsidRPr="00751FAA">
        <w:rPr>
          <w:rFonts w:ascii="Arial" w:eastAsia="Times New Roman" w:hAnsi="Arial" w:cs="Arial"/>
          <w:b/>
          <w:bCs/>
          <w:color w:val="484184"/>
          <w:spacing w:val="15"/>
          <w:sz w:val="23"/>
          <w:szCs w:val="23"/>
          <w:lang w:eastAsia="ru-RU"/>
        </w:rPr>
        <w:br/>
        <w:t xml:space="preserve">(2-я очередь строительства) в составе многоквартирного </w:t>
      </w:r>
      <w:proofErr w:type="spellStart"/>
      <w:r w:rsidRPr="00751FAA">
        <w:rPr>
          <w:rFonts w:ascii="Arial" w:eastAsia="Times New Roman" w:hAnsi="Arial" w:cs="Arial"/>
          <w:b/>
          <w:bCs/>
          <w:color w:val="484184"/>
          <w:spacing w:val="15"/>
          <w:sz w:val="23"/>
          <w:szCs w:val="23"/>
          <w:lang w:eastAsia="ru-RU"/>
        </w:rPr>
        <w:t>жилогокомплекса</w:t>
      </w:r>
      <w:proofErr w:type="spellEnd"/>
      <w:r w:rsidRPr="00751FAA">
        <w:rPr>
          <w:rFonts w:ascii="Arial" w:eastAsia="Times New Roman" w:hAnsi="Arial" w:cs="Arial"/>
          <w:b/>
          <w:bCs/>
          <w:color w:val="484184"/>
          <w:spacing w:val="15"/>
          <w:sz w:val="23"/>
          <w:szCs w:val="23"/>
          <w:lang w:eastAsia="ru-RU"/>
        </w:rPr>
        <w:t xml:space="preserve"> с нежилыми помещениями по строительному адресу: </w:t>
      </w:r>
      <w:r w:rsidRPr="00751FAA">
        <w:rPr>
          <w:rFonts w:ascii="inherit" w:eastAsia="Times New Roman" w:hAnsi="inherit" w:cs="Arial"/>
          <w:b/>
          <w:bCs/>
          <w:color w:val="484184"/>
          <w:spacing w:val="15"/>
          <w:sz w:val="20"/>
          <w:szCs w:val="20"/>
          <w:bdr w:val="none" w:sz="0" w:space="0" w:color="auto" w:frame="1"/>
          <w:lang w:eastAsia="ru-RU"/>
        </w:rPr>
        <w:t xml:space="preserve">Рязанская </w:t>
      </w:r>
      <w:proofErr w:type="spellStart"/>
      <w:r w:rsidRPr="00751FAA">
        <w:rPr>
          <w:rFonts w:ascii="inherit" w:eastAsia="Times New Roman" w:hAnsi="inherit" w:cs="Arial"/>
          <w:b/>
          <w:bCs/>
          <w:color w:val="484184"/>
          <w:spacing w:val="15"/>
          <w:sz w:val="20"/>
          <w:szCs w:val="20"/>
          <w:bdr w:val="none" w:sz="0" w:space="0" w:color="auto" w:frame="1"/>
          <w:lang w:eastAsia="ru-RU"/>
        </w:rPr>
        <w:t>область,город</w:t>
      </w:r>
      <w:proofErr w:type="spellEnd"/>
      <w:r w:rsidRPr="00751FAA">
        <w:rPr>
          <w:rFonts w:ascii="inherit" w:eastAsia="Times New Roman" w:hAnsi="inherit" w:cs="Arial"/>
          <w:b/>
          <w:bCs/>
          <w:color w:val="484184"/>
          <w:spacing w:val="15"/>
          <w:sz w:val="20"/>
          <w:szCs w:val="20"/>
          <w:bdr w:val="none" w:sz="0" w:space="0" w:color="auto" w:frame="1"/>
          <w:lang w:eastAsia="ru-RU"/>
        </w:rPr>
        <w:t xml:space="preserve"> Рязань, </w:t>
      </w:r>
      <w:proofErr w:type="spellStart"/>
      <w:r w:rsidRPr="00751FAA">
        <w:rPr>
          <w:rFonts w:ascii="inherit" w:eastAsia="Times New Roman" w:hAnsi="inherit" w:cs="Arial"/>
          <w:b/>
          <w:bCs/>
          <w:color w:val="484184"/>
          <w:spacing w:val="15"/>
          <w:sz w:val="20"/>
          <w:szCs w:val="20"/>
          <w:bdr w:val="none" w:sz="0" w:space="0" w:color="auto" w:frame="1"/>
          <w:lang w:eastAsia="ru-RU"/>
        </w:rPr>
        <w:t>Кальная</w:t>
      </w:r>
      <w:proofErr w:type="spellEnd"/>
      <w:r w:rsidRPr="00751FAA">
        <w:rPr>
          <w:rFonts w:ascii="inherit" w:eastAsia="Times New Roman" w:hAnsi="inherit" w:cs="Arial"/>
          <w:b/>
          <w:bCs/>
          <w:color w:val="484184"/>
          <w:spacing w:val="1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51FAA">
        <w:rPr>
          <w:rFonts w:ascii="inherit" w:eastAsia="Times New Roman" w:hAnsi="inherit" w:cs="Arial"/>
          <w:b/>
          <w:bCs/>
          <w:color w:val="484184"/>
          <w:spacing w:val="15"/>
          <w:sz w:val="20"/>
          <w:szCs w:val="20"/>
          <w:bdr w:val="none" w:sz="0" w:space="0" w:color="auto" w:frame="1"/>
          <w:lang w:eastAsia="ru-RU"/>
        </w:rPr>
        <w:t>улица,дом</w:t>
      </w:r>
      <w:proofErr w:type="spellEnd"/>
      <w:r w:rsidRPr="00751FAA">
        <w:rPr>
          <w:rFonts w:ascii="inherit" w:eastAsia="Times New Roman" w:hAnsi="inherit" w:cs="Arial"/>
          <w:b/>
          <w:bCs/>
          <w:color w:val="484184"/>
          <w:spacing w:val="15"/>
          <w:sz w:val="20"/>
          <w:szCs w:val="20"/>
          <w:bdr w:val="none" w:sz="0" w:space="0" w:color="auto" w:frame="1"/>
          <w:lang w:eastAsia="ru-RU"/>
        </w:rPr>
        <w:t xml:space="preserve"> 79 опубликованную с 10 марта 2016 года по 30 марта 2017 года на сайте </w:t>
      </w:r>
      <w:hyperlink r:id="rId4" w:history="1">
        <w:r w:rsidRPr="00751FAA">
          <w:rPr>
            <w:rFonts w:ascii="inherit" w:eastAsia="Times New Roman" w:hAnsi="inherit" w:cs="Times New Roman"/>
            <w:b/>
            <w:bCs/>
            <w:i/>
            <w:iCs/>
            <w:color w:val="8488BB"/>
            <w:spacing w:val="15"/>
            <w:sz w:val="20"/>
            <w:szCs w:val="20"/>
            <w:u w:val="single"/>
            <w:bdr w:val="none" w:sz="0" w:space="0" w:color="auto" w:frame="1"/>
            <w:lang w:eastAsia="ru-RU"/>
          </w:rPr>
          <w:t>http://www.edinstvo62.ru</w:t>
        </w:r>
      </w:hyperlink>
    </w:p>
    <w:p w:rsidR="00751FAA" w:rsidRPr="00751FAA" w:rsidRDefault="00751FAA" w:rsidP="00751FAA">
      <w:pPr>
        <w:shd w:val="clear" w:color="auto" w:fill="FFFFFF"/>
        <w:spacing w:after="416" w:line="240" w:lineRule="auto"/>
        <w:jc w:val="center"/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</w:pPr>
    </w:p>
    <w:p w:rsidR="00751FAA" w:rsidRPr="00751FAA" w:rsidRDefault="00751FAA" w:rsidP="00751F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</w:pPr>
    </w:p>
    <w:p w:rsidR="00751FAA" w:rsidRPr="00751FAA" w:rsidRDefault="00751FAA" w:rsidP="00751FAA">
      <w:pPr>
        <w:shd w:val="clear" w:color="auto" w:fill="FFFFFF"/>
        <w:spacing w:after="416" w:line="240" w:lineRule="auto"/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</w:pPr>
      <w:r w:rsidRPr="00751FAA"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  <w:t xml:space="preserve">ООО «Деловой союз» (ОГРН 1106215000418, ИНН 6215024154) в связи с внесением изменений в 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в Федеральный закон от 13 марта 2006 года № 38-ФЗ «О рекламе», а также в разрешительную </w:t>
      </w:r>
      <w:proofErr w:type="gramStart"/>
      <w:r w:rsidRPr="00751FAA"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  <w:t>документацию,  публикует</w:t>
      </w:r>
      <w:proofErr w:type="gramEnd"/>
      <w:r w:rsidRPr="00751FAA"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  <w:t xml:space="preserve"> следующие изменения:</w:t>
      </w:r>
    </w:p>
    <w:p w:rsidR="00751FAA" w:rsidRPr="00751FAA" w:rsidRDefault="00751FAA" w:rsidP="00751FAA">
      <w:pPr>
        <w:shd w:val="clear" w:color="auto" w:fill="FFFFFF"/>
        <w:spacing w:after="416" w:line="240" w:lineRule="auto"/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</w:pPr>
      <w:r w:rsidRPr="00751FAA"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  <w:t>1. Наименование проектной декларации читать в следующей редакции: «Проектная декларация Общества с ограниченной ответственностью «Деловой союз» по строительству многоквартирного жилого дома с нежилыми помещениями (2 очередь строительства) в составе многоквартирного жилого комплекса с нежилыми помещениями по строительному адресу: </w:t>
      </w:r>
      <w:r w:rsidRPr="00751FAA">
        <w:rPr>
          <w:rFonts w:ascii="inherit" w:eastAsia="Times New Roman" w:hAnsi="inherit" w:cs="Arial"/>
          <w:b/>
          <w:bCs/>
          <w:color w:val="484184"/>
          <w:spacing w:val="15"/>
          <w:sz w:val="23"/>
          <w:szCs w:val="23"/>
          <w:bdr w:val="none" w:sz="0" w:space="0" w:color="auto" w:frame="1"/>
          <w:lang w:eastAsia="ru-RU"/>
        </w:rPr>
        <w:t xml:space="preserve">Рязанская область, город Рязань, ул. </w:t>
      </w:r>
      <w:proofErr w:type="spellStart"/>
      <w:r w:rsidRPr="00751FAA">
        <w:rPr>
          <w:rFonts w:ascii="inherit" w:eastAsia="Times New Roman" w:hAnsi="inherit" w:cs="Arial"/>
          <w:b/>
          <w:bCs/>
          <w:color w:val="484184"/>
          <w:spacing w:val="15"/>
          <w:sz w:val="23"/>
          <w:szCs w:val="23"/>
          <w:bdr w:val="none" w:sz="0" w:space="0" w:color="auto" w:frame="1"/>
          <w:lang w:eastAsia="ru-RU"/>
        </w:rPr>
        <w:t>Кальная</w:t>
      </w:r>
      <w:proofErr w:type="spellEnd"/>
      <w:r w:rsidRPr="00751FAA">
        <w:rPr>
          <w:rFonts w:ascii="inherit" w:eastAsia="Times New Roman" w:hAnsi="inherit" w:cs="Arial"/>
          <w:b/>
          <w:bCs/>
          <w:color w:val="484184"/>
          <w:spacing w:val="15"/>
          <w:sz w:val="23"/>
          <w:szCs w:val="23"/>
          <w:bdr w:val="none" w:sz="0" w:space="0" w:color="auto" w:frame="1"/>
          <w:lang w:eastAsia="ru-RU"/>
        </w:rPr>
        <w:t>, д.79 (Жилой комплекс «</w:t>
      </w:r>
      <w:proofErr w:type="spellStart"/>
      <w:r w:rsidRPr="00751FAA">
        <w:rPr>
          <w:rFonts w:ascii="inherit" w:eastAsia="Times New Roman" w:hAnsi="inherit" w:cs="Arial"/>
          <w:b/>
          <w:bCs/>
          <w:color w:val="484184"/>
          <w:spacing w:val="15"/>
          <w:sz w:val="23"/>
          <w:szCs w:val="23"/>
          <w:bdr w:val="none" w:sz="0" w:space="0" w:color="auto" w:frame="1"/>
          <w:lang w:eastAsia="ru-RU"/>
        </w:rPr>
        <w:t>Маргелов</w:t>
      </w:r>
      <w:proofErr w:type="spellEnd"/>
      <w:r w:rsidRPr="00751FAA">
        <w:rPr>
          <w:rFonts w:ascii="inherit" w:eastAsia="Times New Roman" w:hAnsi="inherit" w:cs="Arial"/>
          <w:b/>
          <w:bCs/>
          <w:color w:val="484184"/>
          <w:spacing w:val="15"/>
          <w:sz w:val="23"/>
          <w:szCs w:val="23"/>
          <w:bdr w:val="none" w:sz="0" w:space="0" w:color="auto" w:frame="1"/>
          <w:lang w:eastAsia="ru-RU"/>
        </w:rPr>
        <w:t>»)</w:t>
      </w:r>
      <w:r w:rsidRPr="00751FAA"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  <w:t>».</w:t>
      </w:r>
    </w:p>
    <w:p w:rsidR="00751FAA" w:rsidRPr="00751FAA" w:rsidRDefault="00751FAA" w:rsidP="00751FAA">
      <w:pPr>
        <w:shd w:val="clear" w:color="auto" w:fill="FFFFFF"/>
        <w:spacing w:after="416" w:line="240" w:lineRule="auto"/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</w:pPr>
      <w:r w:rsidRPr="00751FAA"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  <w:t>2. В разделе Информация о застройщике № 4,5,6 читать в следующей редакции: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1"/>
        <w:gridCol w:w="5921"/>
      </w:tblGrid>
      <w:tr w:rsidR="00751FAA" w:rsidRPr="00751FAA" w:rsidTr="00751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4. Участие в проектах строительства за 3 предшествующих года</w:t>
            </w:r>
          </w:p>
        </w:tc>
        <w:tc>
          <w:tcPr>
            <w:tcW w:w="0" w:type="auto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ООО «Деловой союз» осуществляло строительство многоквартирного жилого дома с нежилыми помещениями и подземной автостоянкой по адресу: Рязанская область, город Рязань, улица Цветной бульвар, дом 10.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Срок ввода в эксплуатацию по документам – II квартал 2014 года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Фактический срок ввода в эксплуатацию – 30 июня 2014 года.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lastRenderedPageBreak/>
              <w:t> 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ООО «Деловой союз» осуществляет строительство многоквартирного жилого дома с нежилыми помещениями (3-я очередь </w:t>
            </w:r>
            <w:proofErr w:type="gramStart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строительства)в</w:t>
            </w:r>
            <w:proofErr w:type="gramEnd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 составе многоквартирного </w:t>
            </w:r>
            <w:proofErr w:type="spellStart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жилогокомплекса</w:t>
            </w:r>
            <w:proofErr w:type="spellEnd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 с нежилыми помещениями 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(Жилой комплекс «</w:t>
            </w:r>
            <w:proofErr w:type="spellStart"/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Маргелов</w:t>
            </w:r>
            <w:proofErr w:type="spellEnd"/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»)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Строительный адрес: Рязанская область, город Рязань, </w:t>
            </w:r>
            <w:proofErr w:type="spellStart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Кальная</w:t>
            </w:r>
            <w:proofErr w:type="spellEnd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 улица, дом 79 (3-я очередь строительства).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Срок окончания проекта (передачи) – до 31 декабря 2020 года включительно.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 </w:t>
            </w:r>
          </w:p>
        </w:tc>
      </w:tr>
      <w:tr w:rsidR="00751FAA" w:rsidRPr="00751FAA" w:rsidTr="00751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5. Лицензируемая деятельность</w:t>
            </w:r>
          </w:p>
        </w:tc>
        <w:tc>
          <w:tcPr>
            <w:tcW w:w="0" w:type="auto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Застройщиком с 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Обществом с ограниченной ответственностью «СК «Артемида»,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 имеющим Свидетельство о допуске к определенному виду или видам работам, которые оказывают влияние на безопасность объектов капитального строительства № 0003.01-2012-6234104704-С-249, выданного СРО НП «Генеральный Альянс Строительных Организаций» 09.08.2012 г. На основании Решения Правления СРО НП «Генеральный Альянс Строительных Организаций», протокол №3 от 09.08.2012 года на неограниченный срок, заключен 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Договор на выполнение строительного контроля №15-11/4 от 15 ноября 2016 года.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Застройщиком с 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Обществом с ограниченной ответственностью «СК «Артемида»,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 имеющим Свидетельство о допуске к определенному виду или видам работам, которые оказывают влияние на безопасность объектов капитального строительства № 0003.01-2012-6234104704-С-249, выданного СРО НП «Генеральный Альянс Строительных Организаций» 09.08.2012 г. На основании Решения Правления СРО НП «Генеральный Альянс Строительных Организаций», протокол №3 от 09.08.2012 года на 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lastRenderedPageBreak/>
              <w:t>неограниченный срок, заключен 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Договор подряда №15-11/3 от 15 ноября 2016 года.</w:t>
            </w:r>
          </w:p>
        </w:tc>
      </w:tr>
      <w:tr w:rsidR="00751FAA" w:rsidRPr="00751FAA" w:rsidTr="00751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</w:t>
            </w:r>
          </w:p>
        </w:tc>
        <w:tc>
          <w:tcPr>
            <w:tcW w:w="0" w:type="auto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Финансовый результат - -412 298 рублей 59 копеек;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Размер кредиторской задолженности – 849 881 рубль 19 копеек;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Размер дебиторской задолженности – 464 263 рубля 55 копеек.</w:t>
            </w:r>
          </w:p>
        </w:tc>
      </w:tr>
    </w:tbl>
    <w:p w:rsidR="00751FAA" w:rsidRPr="00751FAA" w:rsidRDefault="00751FAA" w:rsidP="00751FAA">
      <w:pPr>
        <w:shd w:val="clear" w:color="auto" w:fill="FFFFFF"/>
        <w:spacing w:after="416" w:line="240" w:lineRule="auto"/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</w:pPr>
      <w:r w:rsidRPr="00751FAA"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  <w:t> </w:t>
      </w:r>
    </w:p>
    <w:p w:rsidR="00751FAA" w:rsidRPr="00751FAA" w:rsidRDefault="00751FAA" w:rsidP="00751FAA">
      <w:pPr>
        <w:shd w:val="clear" w:color="auto" w:fill="FFFFFF"/>
        <w:spacing w:after="416" w:line="240" w:lineRule="auto"/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</w:pPr>
      <w:r w:rsidRPr="00751FAA"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  <w:t>2. В разделе Информация о проекте строительства   № 1,2,3,6,7,8,14,15 читать в следующей редакции: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7795"/>
      </w:tblGrid>
      <w:tr w:rsidR="00751FAA" w:rsidRPr="00751FAA" w:rsidTr="00751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0" w:type="auto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Строительство 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 xml:space="preserve">многоквартирного жилого дома с нежилыми помещениями (2-я очередь </w:t>
            </w:r>
            <w:proofErr w:type="gramStart"/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строительства)в</w:t>
            </w:r>
            <w:proofErr w:type="gramEnd"/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 xml:space="preserve"> составе многоквартирного </w:t>
            </w:r>
            <w:proofErr w:type="spellStart"/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жилогокомплекса</w:t>
            </w:r>
            <w:proofErr w:type="spellEnd"/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 xml:space="preserve"> с нежилыми помещениями Жилой комплекс «</w:t>
            </w:r>
            <w:proofErr w:type="spellStart"/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Маргелов</w:t>
            </w:r>
            <w:proofErr w:type="spellEnd"/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Строительный адрес: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 xml:space="preserve"> Рязанская область, город Рязань, </w:t>
            </w:r>
            <w:proofErr w:type="spellStart"/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Кальная</w:t>
            </w:r>
            <w:proofErr w:type="spellEnd"/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 xml:space="preserve"> улица, 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дом 79 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(2-я очередь строительства).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Срок окончания проекта (передачи) – до 31 декабря 2020 года включительно.</w:t>
            </w:r>
          </w:p>
        </w:tc>
      </w:tr>
      <w:tr w:rsidR="00751FAA" w:rsidRPr="00751FAA" w:rsidTr="00751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2. Результат государственной экспертизы проектн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ой документации</w:t>
            </w:r>
          </w:p>
        </w:tc>
        <w:tc>
          <w:tcPr>
            <w:tcW w:w="0" w:type="auto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lastRenderedPageBreak/>
              <w:t xml:space="preserve">Положительное заключение негосударственной экспертизы № 77-1-4-0124-15, утвержденное 30 июня 2015 г. Обществом с ограниченной ответственностью «Межрегиональный институт экспертизы».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lastRenderedPageBreak/>
              <w:t>№РОСС RU. 0001.610160 от 30.08.2013 г., №РОСС RU. 0001.610206 от 04.12.2013г.)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Положительное заключение негосударственной экспертизы № 77-2-1-3-0257-16, утвержденное 26 декабря 2016 г. Обществом с ограниченной ответственностью «Межрегиональный институт экспертизы».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 RU. 0001.610160 от 30.08.2013 г., №РОСС RU. 0001.610206 от 04.12.2013 г.)</w:t>
            </w:r>
          </w:p>
        </w:tc>
      </w:tr>
      <w:tr w:rsidR="00751FAA" w:rsidRPr="00751FAA" w:rsidTr="00751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3. Разрешение на строительство</w:t>
            </w:r>
          </w:p>
        </w:tc>
        <w:tc>
          <w:tcPr>
            <w:tcW w:w="0" w:type="auto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Разрешение на строительство №62-29-3-2016 от 04.02.2016 г. выдано Администрацией г. Рязани.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Постановление №898 от 14.03.2017 г. О внесении изменений в разрешение на строительство от 04.02.2016 № 62-29-3-2016</w:t>
            </w:r>
          </w:p>
        </w:tc>
      </w:tr>
      <w:tr w:rsidR="00751FAA" w:rsidRPr="00751FAA" w:rsidTr="00751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6. Местоположение многоквартирного дома, его описание</w:t>
            </w:r>
          </w:p>
        </w:tc>
        <w:tc>
          <w:tcPr>
            <w:tcW w:w="0" w:type="auto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bookmarkStart w:id="0" w:name="house"/>
            <w:bookmarkEnd w:id="0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      </w:t>
            </w:r>
            <w:bookmarkStart w:id="1" w:name="_GoBack"/>
            <w:bookmarkEnd w:id="1"/>
          </w:p>
          <w:p w:rsidR="00751FAA" w:rsidRPr="00751FAA" w:rsidRDefault="00751FAA" w:rsidP="00751FAA">
            <w:pPr>
              <w:spacing w:after="0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noProof/>
                <w:color w:val="484184"/>
                <w:spacing w:val="8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9753600" cy="8648700"/>
                  <wp:effectExtent l="0" t="0" r="0" b="0"/>
                  <wp:docPr id="1" name="Рисунок 1" descr="http://old.edinstvo62.ru/houses/119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19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864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lastRenderedPageBreak/>
              <w:t>Участок с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троительства многоквартирного жилого дома с нежилыми помещениями 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(2-я очередь строительства) 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(далее –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 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«Здание дома») расположен в Советском округе г. Рязани.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М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ногоквартирный жилой комплекс с нежилыми помещениями включает в себя: многоквартирный жилой дом с нежилыми помещениями 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(2 очередь строительства) 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и многоквартирный жилой дом с нежилыми помещениями 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(3-я очередь строительства).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Секции дома 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имеют прямоугольную форму 26 этажей. Поэтажная связь осуществляется посредством незадымляемой лестницы и трех лифтов в каждой секции (один грузоподъемностью 1000 кг и два грузоподъемностью 400 кг).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 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Проектом предусмотрена облицовка фасадов декоративной штукатуркой с последующей окраской, согласно паспорта цветового решения.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Все квартиры запроектированы с непроходными комнатами, санузлами, лоджиями и балконами. Все квартиры имеют необходимый набор жилых и вспомогательных помещений.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Каркас здания дома предусмотрен в монолитном железобетоне.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Фундамент – плитный, на свайном основании. Сваи – забивные.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Фундаментная плита – монолитная, железобетонная. Под фундаментную плиту предусмотрена бетонная подготовка.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Стены подвала – монолитные железобетонные.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Колонны (пилоны) – монолитные железобетонные.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Наружные стены – монолитный железобетон и </w:t>
            </w:r>
            <w:proofErr w:type="spellStart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поризованный</w:t>
            </w:r>
            <w:proofErr w:type="spellEnd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 камень с наружным утеплением </w:t>
            </w:r>
            <w:proofErr w:type="spellStart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минераловатными</w:t>
            </w:r>
            <w:proofErr w:type="spellEnd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 плитами и последующим оштукатуриванием.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Перегородки – межкомнатные из силикатных блоков толщиной 80 мм.; межквартирные – из </w:t>
            </w:r>
            <w:proofErr w:type="spellStart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поризованного</w:t>
            </w:r>
            <w:proofErr w:type="spellEnd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 камня толщиной 250 мм, 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lastRenderedPageBreak/>
              <w:t>перегородки санузлов – из полнотелого керамического кирпича на ребро.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Кровля здания – плоская инверсионная неэксплуатируемая с внутренним водостоком.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Оконные проемы и лоджии (балконы) остекляются ПВХ-профилем.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 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В здании дома проектом предусмотрена </w:t>
            </w:r>
            <w:proofErr w:type="spellStart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электрощитовая</w:t>
            </w:r>
            <w:proofErr w:type="spellEnd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, в которой устанавливается вводно-распределительное устройство. Для питания потребителей квартир на каждом этаже устанавливаются этажные щитки. Щитки монтируются в нишах стен поэтажных коридоров. В каждой квартире предусмотрены квартирные щитки, в которых установлены групповые автоматические выключатели.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Источником водоснабжения является существующий городской водопровод. Проектом предусматривается </w:t>
            </w:r>
            <w:proofErr w:type="spellStart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двухзонная</w:t>
            </w:r>
            <w:proofErr w:type="spellEnd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 xml:space="preserve"> система хозяйственно-питьевого водопровода и противопожарный водопровод.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Для учета расхода воды на нужды здания дома предусматривается счетчик холодной воды, рассчитанный на пропуск общего расхода воды.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Водоотведение хозяйственно-бытовых сточных вод от здания дома предусматривается в существующих канализационный коллектор, проходящий в районе застройки.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Отопление и горячее водоснабжение квартир осуществляется от крышной газовой котельной.  Для учета расхода газа на газовые плиты в кухнях квартир предусмотрена установка счетчиков. Проектируемая система отопления квартир-лучевая подводка в стяжке пола.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Проектом предусмотрена система вентиляции с естественным и механическим побуждением. Проектом предусматривается обеспечение здания дома радиофикацией и телефонизацией.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 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 </w:t>
            </w:r>
          </w:p>
        </w:tc>
      </w:tr>
      <w:tr w:rsidR="00751FAA" w:rsidRPr="00751FAA" w:rsidTr="00751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0" w:type="auto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Здание дома включает в себя: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 Количество секций – 2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Количество квартир - 398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 </w:t>
            </w:r>
          </w:p>
        </w:tc>
      </w:tr>
      <w:tr w:rsidR="00751FAA" w:rsidRPr="00751FAA" w:rsidTr="00751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0" w:type="auto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Нежилые помещения на этажных площадках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 – вне квартирные хозяйственные кладовые.</w:t>
            </w:r>
          </w:p>
        </w:tc>
      </w:tr>
      <w:tr w:rsidR="00751FAA" w:rsidRPr="00751FAA" w:rsidTr="00751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 xml:space="preserve">14. Перечень организаций, осуществляющих 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строительно-монтажные и другие работы</w:t>
            </w:r>
          </w:p>
        </w:tc>
        <w:tc>
          <w:tcPr>
            <w:tcW w:w="0" w:type="auto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lastRenderedPageBreak/>
              <w:t>ООО «Деловой союз»;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ООО «СК «Артемида»;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br/>
              <w:t>ООО «</w:t>
            </w:r>
            <w:proofErr w:type="spellStart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Рязаньлифт</w:t>
            </w:r>
            <w:proofErr w:type="spellEnd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»;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lastRenderedPageBreak/>
              <w:t>МБУ «Дирекция благоустройства города»;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ОАО «</w:t>
            </w:r>
            <w:proofErr w:type="spellStart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РязаньГоргаз</w:t>
            </w:r>
            <w:proofErr w:type="spellEnd"/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»;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МП «Водоканал города Рязани».</w:t>
            </w:r>
          </w:p>
        </w:tc>
      </w:tr>
      <w:tr w:rsidR="00751FAA" w:rsidRPr="00751FAA" w:rsidTr="00751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15. Способ обеспечения исполнений обязательств Застройщика по договорам</w:t>
            </w:r>
          </w:p>
        </w:tc>
        <w:tc>
          <w:tcPr>
            <w:tcW w:w="0" w:type="auto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FFFFFF"/>
            <w:tcMar>
              <w:top w:w="432" w:type="dxa"/>
              <w:left w:w="240" w:type="dxa"/>
              <w:bottom w:w="432" w:type="dxa"/>
              <w:right w:w="240" w:type="dxa"/>
            </w:tcMar>
            <w:vAlign w:val="center"/>
            <w:hideMark/>
          </w:tcPr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- залог – в порядке, установленном статьями 13-15 Закона;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6" w:history="1">
              <w:r w:rsidRPr="00751FAA">
                <w:rPr>
                  <w:rFonts w:ascii="inherit" w:eastAsia="Times New Roman" w:hAnsi="inherit" w:cs="Arial"/>
                  <w:color w:val="8488BB"/>
                  <w:spacing w:val="8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статьей 15.2</w:t>
              </w:r>
            </w:hyperlink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 Закона.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Страховщик: ООО «Страховая компания «РЕСПЕКТ»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Адрес (место нахождения): 390023, Рязанская область, город Рязань, улица Есенина, дом 29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ОГРН 1027739329188; ИНН 7743014574.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Генеральный договор №ГОЗ-84-0357/17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21 марта 2017 года.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Страховщик: ООО «Региональная страховая компания» 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lastRenderedPageBreak/>
              <w:t>Адрес (место нахождения): 127018, город Москва, улица Складочная, дом 1, строение 15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ОГРН 1021801434643, ИНН 1832008660.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 </w:t>
            </w:r>
            <w:r w:rsidRPr="00751FAA">
              <w:rPr>
                <w:rFonts w:ascii="inherit" w:eastAsia="Times New Roman" w:hAnsi="inherit" w:cs="Arial"/>
                <w:b/>
                <w:bCs/>
                <w:color w:val="484184"/>
                <w:spacing w:val="15"/>
                <w:sz w:val="23"/>
                <w:szCs w:val="23"/>
                <w:bdr w:val="none" w:sz="0" w:space="0" w:color="auto" w:frame="1"/>
                <w:lang w:eastAsia="ru-RU"/>
              </w:rPr>
              <w:t>№35-28123/2016</w:t>
            </w: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br/>
              <w:t>от 20 апреля 2016 года.</w:t>
            </w:r>
          </w:p>
          <w:p w:rsidR="00751FAA" w:rsidRPr="00751FAA" w:rsidRDefault="00751FAA" w:rsidP="00751FAA">
            <w:pPr>
              <w:spacing w:after="416" w:line="240" w:lineRule="auto"/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</w:pPr>
            <w:r w:rsidRPr="00751FAA">
              <w:rPr>
                <w:rFonts w:ascii="inherit" w:eastAsia="Times New Roman" w:hAnsi="inherit" w:cs="Arial"/>
                <w:color w:val="484184"/>
                <w:spacing w:val="8"/>
                <w:sz w:val="23"/>
                <w:szCs w:val="23"/>
                <w:lang w:eastAsia="ru-RU"/>
              </w:rPr>
              <w:t> </w:t>
            </w:r>
          </w:p>
        </w:tc>
      </w:tr>
    </w:tbl>
    <w:p w:rsidR="006973D6" w:rsidRDefault="006973D6"/>
    <w:sectPr w:rsidR="0069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AA"/>
    <w:rsid w:val="006973D6"/>
    <w:rsid w:val="007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57C4C-6BD0-42E0-AD4B-4F401E63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FAA"/>
  </w:style>
  <w:style w:type="character" w:styleId="a4">
    <w:name w:val="Emphasis"/>
    <w:basedOn w:val="a0"/>
    <w:uiPriority w:val="20"/>
    <w:qFormat/>
    <w:rsid w:val="00751FAA"/>
    <w:rPr>
      <w:i/>
      <w:iCs/>
    </w:rPr>
  </w:style>
  <w:style w:type="character" w:styleId="a5">
    <w:name w:val="Hyperlink"/>
    <w:basedOn w:val="a0"/>
    <w:uiPriority w:val="99"/>
    <w:semiHidden/>
    <w:unhideWhenUsed/>
    <w:rsid w:val="00751FAA"/>
    <w:rPr>
      <w:color w:val="0000FF"/>
      <w:u w:val="single"/>
    </w:rPr>
  </w:style>
  <w:style w:type="character" w:styleId="a6">
    <w:name w:val="Strong"/>
    <w:basedOn w:val="a0"/>
    <w:uiPriority w:val="22"/>
    <w:qFormat/>
    <w:rsid w:val="00751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5187AAF29202C0525DB63FF0F033A5751D68194CC0D6DDBC30E3CE8662E9DF8AD8999n9tA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dinstvo6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1572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2017-06-23T09:21:00Z</dcterms:created>
  <dcterms:modified xsi:type="dcterms:W3CDTF">2017-06-23T09:21:00Z</dcterms:modified>
</cp:coreProperties>
</file>